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E401C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401C4" w:rsidRDefault="00A16254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E401C4" w:rsidRDefault="00A16254">
            <w:pPr>
              <w:spacing w:after="0" w:line="240" w:lineRule="auto"/>
            </w:pPr>
            <w:r>
              <w:t>17458</w:t>
            </w:r>
          </w:p>
        </w:tc>
      </w:tr>
      <w:tr w:rsidR="00E401C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401C4" w:rsidRDefault="00A16254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E401C4" w:rsidRDefault="00A16254">
            <w:pPr>
              <w:spacing w:after="0" w:line="240" w:lineRule="auto"/>
            </w:pPr>
            <w:r>
              <w:t>GIMNAZIJA ANDRIJE MOHOROVIČIĆA RIJEKA</w:t>
            </w:r>
          </w:p>
        </w:tc>
      </w:tr>
      <w:tr w:rsidR="00E401C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401C4" w:rsidRDefault="00A16254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E401C4" w:rsidRDefault="00A16254">
            <w:pPr>
              <w:spacing w:after="0" w:line="240" w:lineRule="auto"/>
            </w:pPr>
            <w:r>
              <w:t>31</w:t>
            </w:r>
          </w:p>
        </w:tc>
      </w:tr>
    </w:tbl>
    <w:p w:rsidR="00E401C4" w:rsidRDefault="00A16254">
      <w:r>
        <w:br/>
      </w:r>
    </w:p>
    <w:p w:rsidR="00E401C4" w:rsidRDefault="00A16254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E401C4" w:rsidRDefault="00A16254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E401C4" w:rsidRDefault="00A16254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E401C4" w:rsidRDefault="00E401C4"/>
    <w:p w:rsidR="00E401C4" w:rsidRDefault="00A16254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E401C4" w:rsidRDefault="00A16254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0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01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1.679.697,68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1.753.261,08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104,4</w:t>
            </w:r>
          </w:p>
        </w:tc>
      </w:tr>
      <w:tr w:rsidR="00E401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1.656.584,51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1.892.527,40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114,2</w:t>
            </w:r>
          </w:p>
        </w:tc>
      </w:tr>
      <w:tr w:rsidR="00E401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E401C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139.266,32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401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401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10.972,71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4.555,60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41,5</w:t>
            </w:r>
          </w:p>
        </w:tc>
      </w:tr>
      <w:tr w:rsidR="00E401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E401C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10.972,71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4.555,60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41,5</w:t>
            </w:r>
          </w:p>
        </w:tc>
      </w:tr>
      <w:tr w:rsidR="00E401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401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401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E401C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401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E401C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143.821,92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E401C4" w:rsidRDefault="00E401C4">
      <w:pPr>
        <w:spacing w:after="0"/>
      </w:pPr>
    </w:p>
    <w:p w:rsidR="00E401C4" w:rsidRDefault="00A16254">
      <w:r>
        <w:t>Gimnazija Andrije Mohorovičića Rijeka posluje u skladu sa Zakonom o odgoju i obrazovanju u osnovnoj i srednjoj školi te Statutom škole. Vodi proračunsko računovodstvo temeljem Pravilnika o proračunskom računovodstvu i Računskom planu, a financijske izvješt</w:t>
      </w:r>
      <w:r>
        <w:t>aje sastavlja i predaje u skladu s odredbama Pravilnika o financijskom izvještavanju u proračunskom računovodstvu.</w:t>
      </w:r>
    </w:p>
    <w:p w:rsidR="00E401C4" w:rsidRDefault="00A16254">
      <w:r>
        <w:lastRenderedPageBreak/>
        <w:t xml:space="preserve">1.      U razdoblju od 1. siječnja do 31. prosinca, Škola je ostvarila ukupan prihod u iznosu od 1.753.261,08 </w:t>
      </w:r>
      <w:proofErr w:type="spellStart"/>
      <w:r>
        <w:t>eur</w:t>
      </w:r>
      <w:proofErr w:type="spellEnd"/>
      <w:r>
        <w:t xml:space="preserve">  (ŠIFRA –oznaka X067-iskaza</w:t>
      </w:r>
      <w:r>
        <w:t>ni prihod je u odnosu na proteklu godinu veći za 4,4%).</w:t>
      </w:r>
    </w:p>
    <w:p w:rsidR="00E401C4" w:rsidRDefault="00A16254">
      <w:r>
        <w:t>Navedeni prihodi odnose se na slijedeće izvore financiranja:</w:t>
      </w:r>
    </w:p>
    <w:p w:rsidR="00E401C4" w:rsidRDefault="00A16254">
      <w:r>
        <w:t>-          Pomoći iz nenadležnog proračuna (63) -1.618.806,39</w:t>
      </w:r>
    </w:p>
    <w:p w:rsidR="00E401C4" w:rsidRDefault="00A16254">
      <w:r>
        <w:t>-          Prihodi od imovine (64)- 0,03</w:t>
      </w:r>
    </w:p>
    <w:p w:rsidR="00E401C4" w:rsidRDefault="00A16254">
      <w:r>
        <w:t>-          Prihodi po posebnim propi</w:t>
      </w:r>
      <w:r>
        <w:t>sima (65) -16.326,36</w:t>
      </w:r>
    </w:p>
    <w:p w:rsidR="00E401C4" w:rsidRDefault="00A16254">
      <w:r>
        <w:t>-           Prihodi od prodaje proizvoda i pruženih usluga i donacija (66) – 22.384,53</w:t>
      </w:r>
    </w:p>
    <w:p w:rsidR="00E401C4" w:rsidRDefault="00A16254">
      <w:r>
        <w:t>-          Prihodi iz nadležnog proračuna (67) -95.743,77</w:t>
      </w:r>
    </w:p>
    <w:p w:rsidR="00E401C4" w:rsidRDefault="00A16254">
      <w:r>
        <w:t>2.      Ukupni rashodi u razdoblju siječanj-prosinac 2024. (Y034) ostvareni su u iznosu od</w:t>
      </w:r>
      <w:r>
        <w:t xml:space="preserve"> 1.897.083,00 </w:t>
      </w:r>
      <w:proofErr w:type="spellStart"/>
      <w:r>
        <w:t>eur</w:t>
      </w:r>
      <w:proofErr w:type="spellEnd"/>
      <w:r>
        <w:t>, a odnose se na:</w:t>
      </w:r>
    </w:p>
    <w:p w:rsidR="00E401C4" w:rsidRDefault="00A16254">
      <w:r>
        <w:t>-          Rashodi za zaposlene (31) -1.747.960,91</w:t>
      </w:r>
    </w:p>
    <w:p w:rsidR="00E401C4" w:rsidRDefault="00A16254">
      <w:r>
        <w:t>-          Materijalni rashodi (32) – 142.633,05</w:t>
      </w:r>
    </w:p>
    <w:p w:rsidR="00E401C4" w:rsidRDefault="00A16254">
      <w:r>
        <w:t>-          Financijski rashodi (34) – 514,32</w:t>
      </w:r>
    </w:p>
    <w:p w:rsidR="00E401C4" w:rsidRDefault="00A16254">
      <w:r>
        <w:t>-          Naknade građanima i kućanstvima (37) – 267,12</w:t>
      </w:r>
    </w:p>
    <w:p w:rsidR="00E401C4" w:rsidRDefault="00A16254">
      <w:r>
        <w:t xml:space="preserve">-          Rashodi </w:t>
      </w:r>
      <w:r>
        <w:t>za nabavku dugotrajne imovine (42) – 4.555,60</w:t>
      </w:r>
    </w:p>
    <w:p w:rsidR="00E401C4" w:rsidRDefault="00A16254">
      <w:r>
        <w:br/>
      </w:r>
    </w:p>
    <w:p w:rsidR="00E401C4" w:rsidRDefault="00A16254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0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01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42,9</w:t>
            </w:r>
          </w:p>
        </w:tc>
      </w:tr>
    </w:tbl>
    <w:p w:rsidR="00E401C4" w:rsidRDefault="00E401C4">
      <w:pPr>
        <w:spacing w:after="0"/>
      </w:pPr>
    </w:p>
    <w:p w:rsidR="00E401C4" w:rsidRDefault="00A16254">
      <w:r>
        <w:t>Bilježi se smanjenje prihoda od kamata na oročena sredstva i depozite po viđenju prema stanju na transakcijskom računu Škole.</w:t>
      </w:r>
    </w:p>
    <w:p w:rsidR="00E401C4" w:rsidRDefault="00E401C4"/>
    <w:p w:rsidR="00E401C4" w:rsidRDefault="00A16254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0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01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financijske imovine (šifre 6412 do 6419)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42,9</w:t>
            </w:r>
          </w:p>
        </w:tc>
      </w:tr>
    </w:tbl>
    <w:p w:rsidR="00E401C4" w:rsidRDefault="00E401C4">
      <w:pPr>
        <w:spacing w:after="0"/>
      </w:pPr>
    </w:p>
    <w:p w:rsidR="00E401C4" w:rsidRDefault="00A16254">
      <w:r>
        <w:t>Bilježi se smanjenje prihoda od kamata na oročena sredstva i depozite po viđenju prema stanju na transakcijskom računu Škole.</w:t>
      </w:r>
    </w:p>
    <w:p w:rsidR="00E401C4" w:rsidRDefault="00E401C4"/>
    <w:p w:rsidR="00E401C4" w:rsidRDefault="00A16254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0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01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upravnih i administrativnih pristojbi, pristojbi po posebnim propisima i </w:t>
            </w:r>
            <w:r>
              <w:rPr>
                <w:sz w:val="18"/>
              </w:rPr>
              <w:t>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12.030,69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16.326,36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135,7</w:t>
            </w:r>
          </w:p>
        </w:tc>
      </w:tr>
    </w:tbl>
    <w:p w:rsidR="00E401C4" w:rsidRDefault="00E401C4">
      <w:pPr>
        <w:spacing w:after="0"/>
      </w:pPr>
    </w:p>
    <w:p w:rsidR="00E401C4" w:rsidRDefault="00A16254">
      <w:r>
        <w:t>Bilježi se povećanje prihoda u iznosu od 35,7% u odnosu na gledano razdoblje prethodne godine iz razloga što je organiziran odlazak učenika na natjecanje zborova u Rim. Navedeni odlazak učenika i mentora nijedna turistička agencija nije htjela organizirati</w:t>
      </w:r>
      <w:r>
        <w:t xml:space="preserve">, te je organizaciju puta na sebe preuzela nastavnica glazbene umjetnosti, te se iznimno dozvolilo roditeljima da ukupan trošak puta uplate na račun Gimnazije kako bi se putovanje u </w:t>
      </w:r>
      <w:proofErr w:type="spellStart"/>
      <w:r>
        <w:t>inozemnstvo</w:t>
      </w:r>
      <w:proofErr w:type="spellEnd"/>
      <w:r>
        <w:t xml:space="preserve"> lakše realiziralo.</w:t>
      </w:r>
    </w:p>
    <w:p w:rsidR="00E401C4" w:rsidRDefault="00E401C4"/>
    <w:p w:rsidR="00E401C4" w:rsidRDefault="00A16254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0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01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24.218,96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22.384,53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92,4</w:t>
            </w:r>
          </w:p>
        </w:tc>
      </w:tr>
    </w:tbl>
    <w:p w:rsidR="00E401C4" w:rsidRDefault="00E401C4">
      <w:pPr>
        <w:spacing w:after="0"/>
      </w:pPr>
    </w:p>
    <w:p w:rsidR="00E401C4" w:rsidRDefault="00A16254">
      <w:r>
        <w:t xml:space="preserve">Do kraja 2024. godine sve primljene donacije odnosile su se na tim </w:t>
      </w:r>
      <w:proofErr w:type="spellStart"/>
      <w:r>
        <w:t>robotičara</w:t>
      </w:r>
      <w:proofErr w:type="spellEnd"/>
      <w:r>
        <w:t xml:space="preserve"> Gimnazije, no od početka 2025. godine donacije se sakupljaju i za Združeni zbor GAM-a i PRHG. U gledanom razdoblju u 2025. godini primljene donacije su za 8% niže, nego u prethod</w:t>
      </w:r>
      <w:r>
        <w:t xml:space="preserve">nom razdoblju, jer su </w:t>
      </w:r>
      <w:proofErr w:type="spellStart"/>
      <w:r>
        <w:t>robotičari</w:t>
      </w:r>
      <w:proofErr w:type="spellEnd"/>
      <w:r>
        <w:t xml:space="preserve"> imali dovoljno sredstava (uz pomoć Osnivača PGŽ) za uplatu kotizacije za natjecanje koje se u 2026. godini održava u Chicagu, SAD. Samim time, poslano je i manje zahtjeva za donacije u 2025. godini, te je i prihod niži.</w:t>
      </w:r>
    </w:p>
    <w:p w:rsidR="00E401C4" w:rsidRDefault="00E401C4"/>
    <w:p w:rsidR="00E401C4" w:rsidRDefault="00A16254">
      <w:pPr>
        <w:keepNext/>
        <w:spacing w:line="240" w:lineRule="auto"/>
        <w:jc w:val="center"/>
      </w:pPr>
      <w:r>
        <w:rPr>
          <w:sz w:val="28"/>
        </w:rPr>
        <w:t>Bi</w:t>
      </w:r>
      <w:r>
        <w:rPr>
          <w:sz w:val="28"/>
        </w:rPr>
        <w:t>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0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01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1.656.584,51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1.892.527,40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114,2</w:t>
            </w:r>
          </w:p>
        </w:tc>
      </w:tr>
    </w:tbl>
    <w:p w:rsidR="00E401C4" w:rsidRDefault="00E401C4">
      <w:pPr>
        <w:spacing w:after="0"/>
      </w:pPr>
    </w:p>
    <w:p w:rsidR="00E401C4" w:rsidRDefault="00A16254">
      <w:r>
        <w:t>Rashodi poslovanja bilježe rast od 14,2% u odnosu na prethodnu godinu najviše zbog novih odredbi Zakona o proračunu po kojima se plaća za 12. mjesec ne knjiži na kontinuirane rashode budućeg razdoblja, već kao trošak razdoblja 12. mjeseca. </w:t>
      </w:r>
    </w:p>
    <w:p w:rsidR="00E401C4" w:rsidRDefault="00A16254">
      <w:r>
        <w:t>Također, režijs</w:t>
      </w:r>
      <w:r>
        <w:t>ki troškovi su rasli na razini godine. Između ostalog, zbog kvara na cijevima, imali smo povećanu potrošnju vode,  do popravka.</w:t>
      </w:r>
    </w:p>
    <w:p w:rsidR="00E401C4" w:rsidRDefault="00E401C4"/>
    <w:p w:rsidR="00E401C4" w:rsidRDefault="00A16254">
      <w:pPr>
        <w:keepNext/>
        <w:spacing w:line="240" w:lineRule="auto"/>
        <w:jc w:val="center"/>
      </w:pPr>
      <w:r>
        <w:rPr>
          <w:sz w:val="28"/>
        </w:rPr>
        <w:lastRenderedPageBreak/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0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01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1.251.575,10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1.456.907,14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116,4</w:t>
            </w:r>
          </w:p>
        </w:tc>
      </w:tr>
    </w:tbl>
    <w:p w:rsidR="00E401C4" w:rsidRDefault="00E401C4">
      <w:pPr>
        <w:spacing w:after="0"/>
      </w:pPr>
    </w:p>
    <w:p w:rsidR="00E401C4" w:rsidRDefault="00A16254">
      <w:r>
        <w:t>Bilježi se rast od 16,4% isključivo zbog evidentiranja plaće za 12./2025. kao troška razdoblja, a  ne kontinuiranog rashoda budućeg razdoblja.</w:t>
      </w:r>
    </w:p>
    <w:p w:rsidR="00E401C4" w:rsidRDefault="00E401C4"/>
    <w:p w:rsidR="00E401C4" w:rsidRDefault="00A16254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0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01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58.790,36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50.663,95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86,2</w:t>
            </w:r>
          </w:p>
        </w:tc>
      </w:tr>
    </w:tbl>
    <w:p w:rsidR="00E401C4" w:rsidRDefault="00E401C4">
      <w:pPr>
        <w:spacing w:after="0"/>
      </w:pPr>
    </w:p>
    <w:p w:rsidR="00E401C4" w:rsidRDefault="00A16254">
      <w:r>
        <w:t>Bilježi se smanjenje rashoda za zaposlene zbog manjeg broja pomoći za dugo bolovanje i isplaćenih otpremnina u 2025. godini u odnosu na isto razdoblje 2024. godine.</w:t>
      </w:r>
    </w:p>
    <w:p w:rsidR="00E401C4" w:rsidRDefault="00E401C4"/>
    <w:p w:rsidR="00E401C4" w:rsidRDefault="00A16254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0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</w:t>
            </w:r>
            <w:r>
              <w:rPr>
                <w:b/>
                <w:sz w:val="18"/>
              </w:rPr>
              <w:t>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01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206.510,05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240.389,82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116,4</w:t>
            </w:r>
          </w:p>
        </w:tc>
      </w:tr>
    </w:tbl>
    <w:p w:rsidR="00E401C4" w:rsidRDefault="00E401C4">
      <w:pPr>
        <w:spacing w:after="0"/>
      </w:pPr>
    </w:p>
    <w:p w:rsidR="00E401C4" w:rsidRDefault="00A16254">
      <w:r>
        <w:t>Bilježi se rast od 16,4% isključivo zbog evidentiranja plaće za 12./2025. kao troška razdoblja, a  ne kontinuiranog rashoda budućeg razdoblja.</w:t>
      </w:r>
    </w:p>
    <w:p w:rsidR="00E401C4" w:rsidRDefault="00E401C4"/>
    <w:p w:rsidR="00E401C4" w:rsidRDefault="00A16254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0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01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206.510,05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240.389,82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116,4</w:t>
            </w:r>
          </w:p>
        </w:tc>
      </w:tr>
    </w:tbl>
    <w:p w:rsidR="00E401C4" w:rsidRDefault="00E401C4">
      <w:pPr>
        <w:spacing w:after="0"/>
      </w:pPr>
    </w:p>
    <w:p w:rsidR="00E401C4" w:rsidRDefault="00A16254">
      <w:r>
        <w:t>Bilježi se rast od 16,4% isključivo zbog evidentiranja plaće za 12./2025. kao troška razdoblja, a  ne kontinuiranog rashoda budućeg razdoblja.</w:t>
      </w:r>
    </w:p>
    <w:p w:rsidR="00E401C4" w:rsidRDefault="00E401C4"/>
    <w:p w:rsidR="00E401C4" w:rsidRDefault="00A16254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0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01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20.601,58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23.312,85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113,2</w:t>
            </w:r>
          </w:p>
        </w:tc>
      </w:tr>
    </w:tbl>
    <w:p w:rsidR="00E401C4" w:rsidRDefault="00E401C4">
      <w:pPr>
        <w:spacing w:after="0"/>
      </w:pPr>
    </w:p>
    <w:p w:rsidR="00E401C4" w:rsidRDefault="00A16254">
      <w:r>
        <w:t>Kako većini zaposlenika kupujemo godišnju kartu za prijevoz gradskim autobusima u ovom razdoblju je došao račun od prijevoznika na naplatu ranije nego prijašnjih godina, te se na šifri 3212 bilježi rast od 13,2%</w:t>
      </w:r>
    </w:p>
    <w:p w:rsidR="00E401C4" w:rsidRDefault="00E401C4"/>
    <w:p w:rsidR="00E401C4" w:rsidRDefault="00A16254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0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01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130,0</w:t>
            </w:r>
          </w:p>
        </w:tc>
      </w:tr>
    </w:tbl>
    <w:p w:rsidR="00E401C4" w:rsidRDefault="00E401C4">
      <w:pPr>
        <w:spacing w:after="0"/>
      </w:pPr>
    </w:p>
    <w:p w:rsidR="00E401C4" w:rsidRDefault="00A16254">
      <w:r>
        <w:t xml:space="preserve">U 2025. godini realiziran je odlazak na jedan seminar više nego u 2024. što je rezultiralo rashodima za 90,00 </w:t>
      </w:r>
      <w:proofErr w:type="spellStart"/>
      <w:r>
        <w:t>eur</w:t>
      </w:r>
      <w:proofErr w:type="spellEnd"/>
      <w:r>
        <w:t xml:space="preserve"> višim nego u istom razdoblju prethodne godine.</w:t>
      </w:r>
    </w:p>
    <w:p w:rsidR="00E401C4" w:rsidRDefault="00E401C4"/>
    <w:p w:rsidR="00E401C4" w:rsidRDefault="00A16254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0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</w:t>
            </w:r>
            <w:r>
              <w:rPr>
                <w:b/>
                <w:sz w:val="18"/>
              </w:rPr>
              <w:t>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01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26.506,10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33.547,42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126,6</w:t>
            </w:r>
          </w:p>
        </w:tc>
      </w:tr>
    </w:tbl>
    <w:p w:rsidR="00E401C4" w:rsidRDefault="00E401C4">
      <w:pPr>
        <w:spacing w:after="0"/>
      </w:pPr>
    </w:p>
    <w:p w:rsidR="00E401C4" w:rsidRDefault="00A16254">
      <w:r>
        <w:t>Bilježi se rast rashoda u ukupnom iznosu od 26,6% najvećim dijelom zbog povećanja cijena uredskog materijala, te uvećane nabavke sitnog inventara.</w:t>
      </w:r>
    </w:p>
    <w:p w:rsidR="00E401C4" w:rsidRDefault="00E401C4"/>
    <w:p w:rsidR="00E401C4" w:rsidRDefault="00A16254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0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</w:t>
            </w:r>
            <w:r>
              <w:rPr>
                <w:b/>
                <w:sz w:val="18"/>
              </w:rPr>
              <w:t>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01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11.944,81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15.576,73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130,4</w:t>
            </w:r>
          </w:p>
        </w:tc>
      </w:tr>
    </w:tbl>
    <w:p w:rsidR="00E401C4" w:rsidRDefault="00E401C4">
      <w:pPr>
        <w:spacing w:after="0"/>
      </w:pPr>
    </w:p>
    <w:p w:rsidR="00E401C4" w:rsidRDefault="00A16254">
      <w:r>
        <w:t>Bilježi se rast od 30,4% zbog sudjelovanja u projektu Budućnost u sadašnjosti pod pokroviteljstvom MZOM pri čemu je nabavljena znatna količina uredskog materijala i literature. Također, higijenski materijal i sredstva za čišćenje su imala drastična povećan</w:t>
      </w:r>
      <w:r>
        <w:t>ja cijena, tako da su nabavljene količine ostale iste, ali su cijene narasle.</w:t>
      </w:r>
    </w:p>
    <w:p w:rsidR="00E401C4" w:rsidRDefault="00E401C4"/>
    <w:p w:rsidR="00E401C4" w:rsidRDefault="00A16254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0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01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536,10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1.110,13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207,1</w:t>
            </w:r>
          </w:p>
        </w:tc>
      </w:tr>
    </w:tbl>
    <w:p w:rsidR="00E401C4" w:rsidRDefault="00E401C4">
      <w:pPr>
        <w:spacing w:after="0"/>
      </w:pPr>
    </w:p>
    <w:p w:rsidR="00E401C4" w:rsidRDefault="00A16254">
      <w:r>
        <w:t>Bilježi se rast zbog realizacije međužupanijskih natjecanja iz logike, filozofije i fizike kojima smo organizatori pod pokroviteljstvom osnivača.</w:t>
      </w:r>
    </w:p>
    <w:p w:rsidR="00E401C4" w:rsidRDefault="00E401C4"/>
    <w:p w:rsidR="00E401C4" w:rsidRDefault="00A16254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0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01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12.510,63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13.817,48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110,4</w:t>
            </w:r>
          </w:p>
        </w:tc>
      </w:tr>
    </w:tbl>
    <w:p w:rsidR="00E401C4" w:rsidRDefault="00E401C4">
      <w:pPr>
        <w:spacing w:after="0"/>
      </w:pPr>
    </w:p>
    <w:p w:rsidR="00E401C4" w:rsidRDefault="00A16254">
      <w:r>
        <w:t>Povećanje rashoda na poziciji električne energije rezultat je povećane potrošnje u referentnom razdoblju.</w:t>
      </w:r>
    </w:p>
    <w:p w:rsidR="00E401C4" w:rsidRDefault="00E401C4"/>
    <w:p w:rsidR="00E401C4" w:rsidRDefault="00A16254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0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</w:t>
            </w:r>
            <w:r>
              <w:rPr>
                <w:b/>
                <w:sz w:val="18"/>
              </w:rPr>
              <w:t>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01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609,30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472,92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77,6</w:t>
            </w:r>
          </w:p>
        </w:tc>
      </w:tr>
    </w:tbl>
    <w:p w:rsidR="00E401C4" w:rsidRDefault="00E401C4">
      <w:pPr>
        <w:spacing w:after="0"/>
      </w:pPr>
    </w:p>
    <w:p w:rsidR="00E401C4" w:rsidRDefault="00A16254">
      <w:r>
        <w:t>Bilježi se smanjenje potrošnje pri kupnji materijala i dijelova za tekuće održavanje zbog odlaska domara u mirovinu te se očekuje porast nakon zapošljavanja nove osobe za tehničko održavanje objekta.</w:t>
      </w:r>
    </w:p>
    <w:p w:rsidR="00E401C4" w:rsidRDefault="00E401C4"/>
    <w:p w:rsidR="00E401C4" w:rsidRDefault="00A16254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0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01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681,28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2.465,16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361,8</w:t>
            </w:r>
          </w:p>
        </w:tc>
      </w:tr>
    </w:tbl>
    <w:p w:rsidR="00E401C4" w:rsidRDefault="00E401C4">
      <w:pPr>
        <w:spacing w:after="0"/>
      </w:pPr>
    </w:p>
    <w:p w:rsidR="00E401C4" w:rsidRDefault="00A16254">
      <w:r>
        <w:t>Na poziciji sitnog inventara bilježi se znatan rast rashoda zbog sudjelovanja u projektu Budućnost u sadašnjosti pod pokroviteljstvom MZOM čijim je sredstvima nabavljen sitan inventar. Također sredstvima osnivača u sklopu projekta Unapr</w:t>
      </w:r>
      <w:r>
        <w:t>jeđenje kvalitete o</w:t>
      </w:r>
      <w:r>
        <w:t>dgojno-obrazovnog rada nabavljen je sitni inventar.</w:t>
      </w:r>
    </w:p>
    <w:p w:rsidR="00E401C4" w:rsidRDefault="00E401C4"/>
    <w:p w:rsidR="00E401C4" w:rsidRDefault="00A16254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0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01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Službena, radna i zaštitna odjeća </w:t>
            </w:r>
            <w:r>
              <w:rPr>
                <w:sz w:val="18"/>
              </w:rPr>
              <w:t>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223,98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46,9</w:t>
            </w:r>
          </w:p>
        </w:tc>
      </w:tr>
    </w:tbl>
    <w:p w:rsidR="00E401C4" w:rsidRDefault="00E401C4">
      <w:pPr>
        <w:spacing w:after="0"/>
      </w:pPr>
    </w:p>
    <w:p w:rsidR="00E401C4" w:rsidRDefault="00A16254">
      <w:r>
        <w:t>Bilježi se smanjenje rashoda zbog manje potrebe za nabavkom kuta za nastavnike, te je u 2025. godini nabavljena samo radna odjeća i obuća za spremačice. Također, zbog odlaska domara u mirovinu, ni njegov komplet opreme nije nabavljen u 2025. godini.</w:t>
      </w:r>
    </w:p>
    <w:p w:rsidR="00E401C4" w:rsidRDefault="00E401C4"/>
    <w:p w:rsidR="00E401C4" w:rsidRDefault="00A16254">
      <w:pPr>
        <w:keepNext/>
        <w:spacing w:line="240" w:lineRule="auto"/>
        <w:jc w:val="center"/>
      </w:pPr>
      <w:r>
        <w:rPr>
          <w:sz w:val="28"/>
        </w:rPr>
        <w:t>Bilje</w:t>
      </w:r>
      <w:r>
        <w:rPr>
          <w:sz w:val="28"/>
        </w:rPr>
        <w:t>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0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01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30.691,11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35.130,99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114,5</w:t>
            </w:r>
          </w:p>
        </w:tc>
      </w:tr>
    </w:tbl>
    <w:p w:rsidR="00E401C4" w:rsidRDefault="00E401C4">
      <w:pPr>
        <w:spacing w:after="0"/>
      </w:pPr>
    </w:p>
    <w:p w:rsidR="00E401C4" w:rsidRDefault="00A16254">
      <w:r>
        <w:t xml:space="preserve">Bilježi se rast od 14,5% na poziciji rashoda za usluge od čega se najveći dio, i to 6.267,5 </w:t>
      </w:r>
      <w:proofErr w:type="spellStart"/>
      <w:r>
        <w:t>eur</w:t>
      </w:r>
      <w:proofErr w:type="spellEnd"/>
      <w:r>
        <w:t xml:space="preserve"> odnosi na prijevoz robota na natjecanje u Chicago, kao i njegov povratak u Rijeku. Također, zbog puknuća cijevi u prizemlju zgrade, komunalne usluge bilježe ras</w:t>
      </w:r>
      <w:r>
        <w:t>t od 9%. Voda je otjecala pod zemlju, pa puknuće nije otkriveno dovoljno brzo, nego tek po porastu računa za opskrbu vodom. Pad rashoda od 43,3% bilježi se na uslugama za tekuće održavanje objekta jer smo u 2024. godini lakirali parkete u dvije učionice, d</w:t>
      </w:r>
      <w:r>
        <w:t>ok u 2025. nije bilo radova, osim hitne intervencije zbog popravka navedene cijevi za vodu.</w:t>
      </w:r>
    </w:p>
    <w:p w:rsidR="00E401C4" w:rsidRDefault="00E401C4"/>
    <w:p w:rsidR="00E401C4" w:rsidRDefault="00A16254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0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01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3.778,40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9.440,86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249,9</w:t>
            </w:r>
          </w:p>
        </w:tc>
      </w:tr>
    </w:tbl>
    <w:p w:rsidR="00E401C4" w:rsidRDefault="00E401C4">
      <w:pPr>
        <w:spacing w:after="0"/>
      </w:pPr>
    </w:p>
    <w:p w:rsidR="00E401C4" w:rsidRDefault="00A16254">
      <w:r>
        <w:t xml:space="preserve">Rast na poziciji prijevoza </w:t>
      </w:r>
      <w:proofErr w:type="spellStart"/>
      <w:r>
        <w:t>odnosise</w:t>
      </w:r>
      <w:proofErr w:type="spellEnd"/>
      <w:r>
        <w:t xml:space="preserve"> na prijevoz robota na natjecanje u Chicago, kao i njegov povratak u Rijeku.</w:t>
      </w:r>
    </w:p>
    <w:p w:rsidR="00E401C4" w:rsidRDefault="00E401C4"/>
    <w:p w:rsidR="00E401C4" w:rsidRDefault="00A16254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0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01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7.954,04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4.511,92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56,7</w:t>
            </w:r>
          </w:p>
        </w:tc>
      </w:tr>
    </w:tbl>
    <w:p w:rsidR="00E401C4" w:rsidRDefault="00E401C4">
      <w:pPr>
        <w:spacing w:after="0"/>
      </w:pPr>
    </w:p>
    <w:p w:rsidR="00E401C4" w:rsidRDefault="00A16254">
      <w:r>
        <w:lastRenderedPageBreak/>
        <w:t>Bilježi se smanjenje rashoda u odnosu na isto razdoblje u 2024. godini iz razloga što je u 2024. godini izvršeno lakiranje parketa u učionici, te su sanirani krovni prozori kako bi se spriječilo daljnje prodiranje vode u učionice i uredske prostore u potkr</w:t>
      </w:r>
      <w:r>
        <w:t>ovlju zgrade.</w:t>
      </w:r>
    </w:p>
    <w:p w:rsidR="00E401C4" w:rsidRDefault="00E401C4"/>
    <w:p w:rsidR="00E401C4" w:rsidRDefault="00A16254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0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01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2.447,41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2.193,80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89,6</w:t>
            </w:r>
          </w:p>
        </w:tc>
      </w:tr>
    </w:tbl>
    <w:p w:rsidR="00E401C4" w:rsidRDefault="00E401C4">
      <w:pPr>
        <w:spacing w:after="0"/>
      </w:pPr>
    </w:p>
    <w:p w:rsidR="00E401C4" w:rsidRDefault="00A16254">
      <w:r>
        <w:t>B</w:t>
      </w:r>
      <w:r>
        <w:t>ilježi se umanjenje od 10% u odnosu na 2024. godinu i sto razdoblje zbog manjeg broja obračunatih ugovora o djelu s vanjskim suradnicima što uključuje isplate povjerenstvima za provedbu stručnih ispita, korepeticiju Združenom zboru na natjecanjima, te od</w:t>
      </w:r>
      <w:r>
        <w:t>ržavanje islamskog vjeronauka.</w:t>
      </w:r>
    </w:p>
    <w:p w:rsidR="00E401C4" w:rsidRDefault="00E401C4"/>
    <w:p w:rsidR="00E401C4" w:rsidRDefault="00A16254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0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01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1.519,92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2.171,58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142,9</w:t>
            </w:r>
          </w:p>
        </w:tc>
      </w:tr>
    </w:tbl>
    <w:p w:rsidR="00E401C4" w:rsidRDefault="00E401C4">
      <w:pPr>
        <w:spacing w:after="0"/>
      </w:pPr>
    </w:p>
    <w:p w:rsidR="00E401C4" w:rsidRDefault="00A16254">
      <w:r>
        <w:t xml:space="preserve">Bilježi se rast na poziciji računalnih usluga jer je u 2025. plaćeno korištenje pristupne točke, kao i održavanje programa za knjižnicu. Također, usluge tvrtke </w:t>
      </w:r>
      <w:proofErr w:type="spellStart"/>
      <w:r>
        <w:t>Infomare</w:t>
      </w:r>
      <w:proofErr w:type="spellEnd"/>
      <w:r>
        <w:t xml:space="preserve"> kvartalno su narasle za 75,00 </w:t>
      </w:r>
      <w:proofErr w:type="spellStart"/>
      <w:r>
        <w:t>eur</w:t>
      </w:r>
      <w:proofErr w:type="spellEnd"/>
      <w:r>
        <w:t>.</w:t>
      </w:r>
    </w:p>
    <w:p w:rsidR="00E401C4" w:rsidRDefault="00E401C4"/>
    <w:p w:rsidR="00E401C4" w:rsidRDefault="00A16254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0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01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2.648,13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3.320,59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125,4</w:t>
            </w:r>
          </w:p>
        </w:tc>
      </w:tr>
    </w:tbl>
    <w:p w:rsidR="00E401C4" w:rsidRDefault="00E401C4">
      <w:pPr>
        <w:spacing w:after="0"/>
      </w:pPr>
    </w:p>
    <w:p w:rsidR="00E401C4" w:rsidRDefault="00A16254">
      <w:r>
        <w:t>Bilježi se rast zbog troška kontrole ispravnosti vodoopskrbne mreže.</w:t>
      </w:r>
    </w:p>
    <w:p w:rsidR="00E401C4" w:rsidRDefault="00E401C4"/>
    <w:p w:rsidR="00E401C4" w:rsidRDefault="00A16254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0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01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29.608,81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21.917,54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74,0</w:t>
            </w:r>
          </w:p>
        </w:tc>
      </w:tr>
    </w:tbl>
    <w:p w:rsidR="00E401C4" w:rsidRDefault="00E401C4">
      <w:pPr>
        <w:spacing w:after="0"/>
      </w:pPr>
    </w:p>
    <w:p w:rsidR="00E401C4" w:rsidRDefault="00A16254">
      <w:r>
        <w:lastRenderedPageBreak/>
        <w:t>Bilježi se pad u odnosu na referentno razdoblje u 2024, godini jer je veliki dio organizacije odlaska na prestižno robotičko natjecanje u Chicago, SAD plaćen u 2024. godini, te je preostali iznos umanjen.</w:t>
      </w:r>
    </w:p>
    <w:p w:rsidR="00E401C4" w:rsidRDefault="00E401C4"/>
    <w:p w:rsidR="00E401C4" w:rsidRDefault="00A16254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0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01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623,59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1.827,40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293,0</w:t>
            </w:r>
          </w:p>
        </w:tc>
      </w:tr>
    </w:tbl>
    <w:p w:rsidR="00E401C4" w:rsidRDefault="00E401C4">
      <w:pPr>
        <w:spacing w:after="0"/>
      </w:pPr>
    </w:p>
    <w:p w:rsidR="00E401C4" w:rsidRDefault="00A16254">
      <w:r>
        <w:t>U 2024. godini Gimnazija je bila organizator samo županijskog natjecanja iz fizike, dok je u 2025. organizirano natjecanje iz fizike, te logike i filozofije.</w:t>
      </w:r>
    </w:p>
    <w:p w:rsidR="00E401C4" w:rsidRDefault="00E401C4"/>
    <w:p w:rsidR="00E401C4" w:rsidRDefault="00A16254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0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</w:t>
            </w:r>
            <w:r>
              <w:rPr>
                <w:b/>
                <w:sz w:val="18"/>
              </w:rPr>
              <w:t>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01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4.120,23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4.992,00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121,2</w:t>
            </w:r>
          </w:p>
        </w:tc>
      </w:tr>
    </w:tbl>
    <w:p w:rsidR="00E401C4" w:rsidRDefault="00E401C4">
      <w:pPr>
        <w:spacing w:after="0"/>
      </w:pPr>
    </w:p>
    <w:p w:rsidR="00E401C4" w:rsidRDefault="00A16254">
      <w:r>
        <w:t>Rast naknade za ne zapošljavanje osoba s invaliditetom rezultirao je povećanjem troškova.</w:t>
      </w:r>
    </w:p>
    <w:p w:rsidR="00E401C4" w:rsidRDefault="00E401C4"/>
    <w:p w:rsidR="00E401C4" w:rsidRDefault="00A16254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0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01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573,06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514,32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89,7</w:t>
            </w:r>
          </w:p>
        </w:tc>
      </w:tr>
    </w:tbl>
    <w:p w:rsidR="00E401C4" w:rsidRDefault="00E401C4">
      <w:pPr>
        <w:spacing w:after="0"/>
      </w:pPr>
    </w:p>
    <w:p w:rsidR="00E401C4" w:rsidRDefault="00A16254">
      <w:r>
        <w:t xml:space="preserve">U 2025. godini produžena je valjanost samo jednog </w:t>
      </w:r>
      <w:proofErr w:type="spellStart"/>
      <w:r>
        <w:t>Fininog</w:t>
      </w:r>
      <w:proofErr w:type="spellEnd"/>
      <w:r>
        <w:t xml:space="preserve"> certifikata.</w:t>
      </w:r>
    </w:p>
    <w:p w:rsidR="00E401C4" w:rsidRDefault="00E401C4"/>
    <w:p w:rsidR="00E401C4" w:rsidRDefault="00A16254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0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01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Bankarske </w:t>
            </w:r>
            <w:r>
              <w:rPr>
                <w:sz w:val="18"/>
              </w:rPr>
              <w:t>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352,09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446,35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126,8</w:t>
            </w:r>
          </w:p>
        </w:tc>
      </w:tr>
    </w:tbl>
    <w:p w:rsidR="00E401C4" w:rsidRDefault="00E401C4">
      <w:pPr>
        <w:spacing w:after="0"/>
      </w:pPr>
    </w:p>
    <w:p w:rsidR="00E401C4" w:rsidRDefault="00A16254">
      <w:r>
        <w:t>Povećani su troškovi bankarskih usluga, kao i broj uplata i isplata sa žiro računa Škole što je rezultiralo višim iznosima za vođenje računa.</w:t>
      </w:r>
    </w:p>
    <w:p w:rsidR="00E401C4" w:rsidRDefault="00E401C4"/>
    <w:p w:rsidR="00E401C4" w:rsidRDefault="00A16254">
      <w:pPr>
        <w:keepNext/>
        <w:spacing w:line="240" w:lineRule="auto"/>
        <w:jc w:val="center"/>
      </w:pPr>
      <w:r>
        <w:rPr>
          <w:sz w:val="28"/>
        </w:rPr>
        <w:lastRenderedPageBreak/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0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01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34,6</w:t>
            </w:r>
          </w:p>
        </w:tc>
      </w:tr>
    </w:tbl>
    <w:p w:rsidR="00E401C4" w:rsidRDefault="00E401C4">
      <w:pPr>
        <w:spacing w:after="0"/>
      </w:pPr>
    </w:p>
    <w:p w:rsidR="00E401C4" w:rsidRDefault="00A16254">
      <w:r>
        <w:t>Zatezne kamate su plaćene samo za dospijeće računa za komunalnu naknadu Grada Rijeke.</w:t>
      </w:r>
    </w:p>
    <w:p w:rsidR="00E401C4" w:rsidRDefault="00E401C4"/>
    <w:p w:rsidR="00E401C4" w:rsidRDefault="00A16254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0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01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financijski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211,53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30,6</w:t>
            </w:r>
          </w:p>
        </w:tc>
      </w:tr>
    </w:tbl>
    <w:p w:rsidR="00E401C4" w:rsidRDefault="00E401C4">
      <w:pPr>
        <w:spacing w:after="0"/>
      </w:pPr>
    </w:p>
    <w:p w:rsidR="00E401C4" w:rsidRDefault="00A16254">
      <w:r>
        <w:t xml:space="preserve">Produžen je samo jedan </w:t>
      </w:r>
      <w:proofErr w:type="spellStart"/>
      <w:r>
        <w:t>Finin</w:t>
      </w:r>
      <w:proofErr w:type="spellEnd"/>
      <w:r>
        <w:t xml:space="preserve"> certifikat u 2025. godini.</w:t>
      </w:r>
    </w:p>
    <w:p w:rsidR="00E401C4" w:rsidRDefault="00E401C4"/>
    <w:p w:rsidR="00E401C4" w:rsidRDefault="00A16254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0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01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Naknade građanima i kućanstvima </w:t>
            </w:r>
            <w:r>
              <w:rPr>
                <w:sz w:val="18"/>
              </w:rPr>
              <w:t>na temelju osiguranja i druge naknade (šifre 371+372)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660,15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267,12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40,5</w:t>
            </w:r>
          </w:p>
        </w:tc>
      </w:tr>
    </w:tbl>
    <w:p w:rsidR="00E401C4" w:rsidRDefault="00E401C4">
      <w:pPr>
        <w:spacing w:after="0"/>
      </w:pPr>
    </w:p>
    <w:p w:rsidR="00E401C4" w:rsidRDefault="00A16254">
      <w:r>
        <w:t>U 2024. godini kupljene su knjige učeniku slabijeg imovinskog statusa, dok je u 2025. godini na ovoj poziciji ostao samo E-tur i sufinanciranje troška prijevoza pratnji slabovidne učenice.</w:t>
      </w:r>
    </w:p>
    <w:p w:rsidR="00E401C4" w:rsidRDefault="00E401C4"/>
    <w:p w:rsidR="00E401C4" w:rsidRDefault="00A16254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0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</w:t>
            </w:r>
            <w:r>
              <w:rPr>
                <w:b/>
                <w:sz w:val="18"/>
              </w:rPr>
              <w:t>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01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10.972,71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4.555,60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41,5</w:t>
            </w:r>
          </w:p>
        </w:tc>
      </w:tr>
    </w:tbl>
    <w:p w:rsidR="00E401C4" w:rsidRDefault="00E401C4">
      <w:pPr>
        <w:spacing w:after="0"/>
      </w:pPr>
    </w:p>
    <w:p w:rsidR="00E401C4" w:rsidRDefault="00A16254">
      <w:r>
        <w:t>U 2024. godini opremljen je ured psihologice, te su troškovi materijala za izradu robota bili viš</w:t>
      </w:r>
      <w:r>
        <w:t>i nego u 2025. godini. </w:t>
      </w:r>
    </w:p>
    <w:p w:rsidR="00E401C4" w:rsidRDefault="00E401C4"/>
    <w:p w:rsidR="00E401C4" w:rsidRDefault="00A16254">
      <w:pPr>
        <w:keepNext/>
        <w:spacing w:line="240" w:lineRule="auto"/>
        <w:jc w:val="center"/>
      </w:pPr>
      <w:r>
        <w:rPr>
          <w:sz w:val="28"/>
        </w:rPr>
        <w:lastRenderedPageBreak/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0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</w:t>
            </w:r>
            <w:r>
              <w:rPr>
                <w:b/>
                <w:sz w:val="18"/>
              </w:rPr>
              <w:t>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01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401C4" w:rsidRDefault="00E401C4">
      <w:pPr>
        <w:spacing w:after="0"/>
      </w:pPr>
    </w:p>
    <w:p w:rsidR="00E401C4" w:rsidRDefault="00A16254">
      <w:r>
        <w:t xml:space="preserve">Odlukom MZOM uplaćeno je 650,00 </w:t>
      </w:r>
      <w:proofErr w:type="spellStart"/>
      <w:r>
        <w:t>eur</w:t>
      </w:r>
      <w:proofErr w:type="spellEnd"/>
      <w:r>
        <w:t xml:space="preserve"> na račun Škole koji su u </w:t>
      </w:r>
      <w:proofErr w:type="spellStart"/>
      <w:r>
        <w:t>cjelosti</w:t>
      </w:r>
      <w:proofErr w:type="spellEnd"/>
      <w:r>
        <w:t xml:space="preserve"> utrošeni za opremanje školske knjižnice obveznom lektirom.</w:t>
      </w:r>
    </w:p>
    <w:p w:rsidR="00E401C4" w:rsidRDefault="00E401C4"/>
    <w:p w:rsidR="00E401C4" w:rsidRDefault="00A16254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E401C4" w:rsidRDefault="00A16254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0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01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1.890,00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E401C4" w:rsidRDefault="00E401C4">
      <w:pPr>
        <w:spacing w:after="0"/>
      </w:pPr>
    </w:p>
    <w:p w:rsidR="00E401C4" w:rsidRDefault="00A16254">
      <w:r>
        <w:t xml:space="preserve">91512 – promjene u obujmu imovine –20.502,17 </w:t>
      </w:r>
      <w:proofErr w:type="spellStart"/>
      <w:r>
        <w:t>eur</w:t>
      </w:r>
      <w:proofErr w:type="spellEnd"/>
      <w:r>
        <w:t xml:space="preserve"> prema Odluci o prijenosu prava vlasništva na imovini izdanoj od strane Primorsko-goranske županije KLASA: 406-01/25-01/15, URBROJ: 2170-05/7-25-14 , a primljenoj 13.11.2025. godine, prenosi se pravo vlasništ</w:t>
      </w:r>
      <w:r>
        <w:t>va na Gimnaziju Andrije Mohorovičića, bez naknade.</w:t>
      </w:r>
    </w:p>
    <w:p w:rsidR="00E401C4" w:rsidRDefault="00A16254">
      <w:r>
        <w:t xml:space="preserve">Stolno računalo model 2:  4 komada, jedinična cijena 472,50 </w:t>
      </w:r>
      <w:proofErr w:type="spellStart"/>
      <w:r>
        <w:t>eur</w:t>
      </w:r>
      <w:proofErr w:type="spellEnd"/>
      <w:r>
        <w:t xml:space="preserve"> s PDV-om, nabavna vrijednost 1.890,00 </w:t>
      </w:r>
      <w:proofErr w:type="spellStart"/>
      <w:r>
        <w:t>eur</w:t>
      </w:r>
      <w:proofErr w:type="spellEnd"/>
      <w:r>
        <w:t>, ispravak vrijednosti 0,00 eura, knjigovodstvena vrijednost 1.890,00 eura.</w:t>
      </w:r>
    </w:p>
    <w:p w:rsidR="00E401C4" w:rsidRDefault="00E401C4"/>
    <w:p w:rsidR="00E401C4" w:rsidRDefault="00A16254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E401C4" w:rsidRDefault="00A16254">
      <w:pPr>
        <w:keepNext/>
        <w:spacing w:line="240" w:lineRule="auto"/>
        <w:jc w:val="center"/>
      </w:pPr>
      <w:r>
        <w:rPr>
          <w:sz w:val="28"/>
        </w:rPr>
        <w:t>Bi</w:t>
      </w:r>
      <w:r>
        <w:rPr>
          <w:sz w:val="28"/>
        </w:rPr>
        <w:t>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40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01C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E401C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146.095,59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01C4" w:rsidRDefault="00A162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401C4" w:rsidRDefault="00E401C4">
      <w:pPr>
        <w:spacing w:after="0"/>
      </w:pPr>
    </w:p>
    <w:p w:rsidR="00E401C4" w:rsidRDefault="00A16254">
      <w:r>
        <w:t>Šifra V006 i V009 iskazano je stanje nedospjelih obveza na kraju izvještajnog razdoblja u ukupnom iznosu od 146.095,59 EUR</w:t>
      </w:r>
    </w:p>
    <w:p w:rsidR="00E401C4" w:rsidRDefault="00A16254">
      <w:r>
        <w:t>Šifra</w:t>
      </w:r>
    </w:p>
    <w:p w:rsidR="00E401C4" w:rsidRDefault="00A16254">
      <w:r>
        <w:t>            231 –obveze za zaposlene – 140.049,01</w:t>
      </w:r>
    </w:p>
    <w:p w:rsidR="00E401C4" w:rsidRDefault="00A16254">
      <w:r>
        <w:t>                        -neto plaća 12/25 83.126,22</w:t>
      </w:r>
    </w:p>
    <w:p w:rsidR="00E401C4" w:rsidRDefault="00A16254">
      <w:r>
        <w:t>                        -</w:t>
      </w:r>
      <w:r>
        <w:t>doprinosi iz plaće 12/25  23.681,77</w:t>
      </w:r>
    </w:p>
    <w:p w:rsidR="00E401C4" w:rsidRDefault="00A16254">
      <w:r>
        <w:t>                        -doprinosi na plaću 12/25   19.597,01</w:t>
      </w:r>
    </w:p>
    <w:p w:rsidR="00E401C4" w:rsidRDefault="00A16254">
      <w:r>
        <w:lastRenderedPageBreak/>
        <w:t>                        -porez 12/25  11.961,95</w:t>
      </w:r>
    </w:p>
    <w:p w:rsidR="00E401C4" w:rsidRDefault="00A16254">
      <w:r>
        <w:t>                        -obveze  za bolovanja izna</w:t>
      </w:r>
      <w:r>
        <w:t>d 42 dana 12/25 1.682,06</w:t>
      </w:r>
    </w:p>
    <w:p w:rsidR="00E401C4" w:rsidRDefault="00A16254">
      <w:r>
        <w:t>            232 – obveze za materi</w:t>
      </w:r>
      <w:r>
        <w:t>jalne rashode – 2.972,83</w:t>
      </w:r>
    </w:p>
    <w:p w:rsidR="00E401C4" w:rsidRDefault="00A16254">
      <w:r>
        <w:t>PN 2025/50501220/1  90,00 </w:t>
      </w:r>
      <w:r>
        <w:br/>
        <w:t>PN 2025/50501220/1  53,60 </w:t>
      </w:r>
      <w:r>
        <w:br/>
        <w:t>PN 2025/50501220/1  6,80 </w:t>
      </w:r>
      <w:r>
        <w:br/>
        <w:t xml:space="preserve">Naknada za ne zapošljavanje osoba s </w:t>
      </w:r>
      <w:r>
        <w:t>invaliditetom</w:t>
      </w:r>
      <w:r>
        <w:t>  388,00 </w:t>
      </w:r>
      <w:r>
        <w:br/>
        <w:t>Prijevoz zaposlenika-godišnja karta  329,89 </w:t>
      </w:r>
      <w:r>
        <w:br/>
        <w:t>Godišnja karta  151,11 </w:t>
      </w:r>
      <w:r>
        <w:br/>
      </w:r>
      <w:proofErr w:type="spellStart"/>
      <w:r>
        <w:t>Gam</w:t>
      </w:r>
      <w:proofErr w:type="spellEnd"/>
      <w:r>
        <w:t>-usluge telefona 38,85 </w:t>
      </w:r>
      <w:r>
        <w:br/>
        <w:t> </w:t>
      </w:r>
      <w:proofErr w:type="spellStart"/>
      <w:r>
        <w:t>Gam</w:t>
      </w:r>
      <w:proofErr w:type="spellEnd"/>
      <w:r>
        <w:t>- usluge telefona  54</w:t>
      </w:r>
      <w:r>
        <w:t>,94 </w:t>
      </w:r>
      <w:r>
        <w:br/>
        <w:t> </w:t>
      </w:r>
      <w:proofErr w:type="spellStart"/>
      <w:r>
        <w:t>Gam</w:t>
      </w:r>
      <w:proofErr w:type="spellEnd"/>
      <w:r>
        <w:t>- električna energija</w:t>
      </w:r>
      <w:bookmarkStart w:id="0" w:name="_GoBack"/>
      <w:bookmarkEnd w:id="0"/>
      <w:r>
        <w:t>  1.448,74</w:t>
      </w:r>
      <w:r>
        <w:br/>
        <w:t> </w:t>
      </w:r>
      <w:proofErr w:type="spellStart"/>
      <w:r>
        <w:t>Gam</w:t>
      </w:r>
      <w:proofErr w:type="spellEnd"/>
      <w:r>
        <w:t>- plin  1,40 </w:t>
      </w:r>
      <w:r>
        <w:br/>
        <w:t> </w:t>
      </w:r>
      <w:proofErr w:type="spellStart"/>
      <w:r>
        <w:t>Gam</w:t>
      </w:r>
      <w:proofErr w:type="spellEnd"/>
      <w:r>
        <w:t>-poštarina 7,69 </w:t>
      </w:r>
      <w:r>
        <w:br/>
        <w:t> </w:t>
      </w:r>
      <w:proofErr w:type="spellStart"/>
      <w:r>
        <w:t>Gam</w:t>
      </w:r>
      <w:proofErr w:type="spellEnd"/>
      <w:r>
        <w:t>-odvoz smeća 265,99 </w:t>
      </w:r>
      <w:r>
        <w:br/>
        <w:t> </w:t>
      </w:r>
      <w:proofErr w:type="spellStart"/>
      <w:r>
        <w:t>Gam</w:t>
      </w:r>
      <w:proofErr w:type="spellEnd"/>
      <w:r>
        <w:t>- ostale računalne usluge</w:t>
      </w:r>
      <w:r>
        <w:t xml:space="preserve"> 1,66 </w:t>
      </w:r>
      <w:r>
        <w:br/>
        <w:t> </w:t>
      </w:r>
      <w:proofErr w:type="spellStart"/>
      <w:r>
        <w:t>Gam</w:t>
      </w:r>
      <w:proofErr w:type="spellEnd"/>
      <w:r>
        <w:t>- voda 134,16 </w:t>
      </w:r>
    </w:p>
    <w:p w:rsidR="00E401C4" w:rsidRDefault="00A16254">
      <w:r>
        <w:t>            27– ostale tekuće obveze – 3.073,75</w:t>
      </w:r>
    </w:p>
    <w:p w:rsidR="00E401C4" w:rsidRDefault="00A16254">
      <w:r>
        <w:t>-       Obveze HZZO – 3.073,75</w:t>
      </w:r>
    </w:p>
    <w:p w:rsidR="00E401C4" w:rsidRDefault="00A16254">
      <w:r>
        <w:t> </w:t>
      </w:r>
    </w:p>
    <w:p w:rsidR="00E401C4" w:rsidRDefault="00A16254">
      <w:r>
        <w:t>Škola nema nepodmirenih ob</w:t>
      </w:r>
      <w:r>
        <w:t>veza, odnosno sve svoje obveze redovito podmiruje.</w:t>
      </w:r>
    </w:p>
    <w:p w:rsidR="00E401C4" w:rsidRDefault="00E401C4"/>
    <w:sectPr w:rsidR="00E40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C4"/>
    <w:rsid w:val="00A16254"/>
    <w:rsid w:val="00E4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C779"/>
  <w15:docId w15:val="{BBFA42D2-3945-4596-8F10-0C7BCC4E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2934</Words>
  <Characters>16725</Characters>
  <Application>Microsoft Office Word</Application>
  <DocSecurity>0</DocSecurity>
  <Lines>139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2026-01-28T12:18:00Z</dcterms:created>
  <dcterms:modified xsi:type="dcterms:W3CDTF">2026-01-28T12:18:00Z</dcterms:modified>
</cp:coreProperties>
</file>